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 xml:space="preserve">Република Србија 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ОПШТИН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</w:rPr>
        <w:t>A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 xml:space="preserve"> КУРШУМЛИЈА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026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ПРЕДСЕДНИК И ОПШТИНСКОВЕЋЕ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Ул. Пролетерских бригада бб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Број:</w:t>
      </w:r>
      <w:r w:rsidRPr="00326DFB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Latn-CS"/>
        </w:rPr>
        <w:t>I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-4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</w:rPr>
        <w:t>04/2-85/2016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 xml:space="preserve">Дана: </w:t>
      </w:r>
      <w:r w:rsidR="00083570" w:rsidRPr="00326DFB">
        <w:rPr>
          <w:rFonts w:ascii="Times New Roman" w:eastAsia="Times New Roman" w:hAnsi="Times New Roman" w:cs="Times New Roman"/>
          <w:b/>
          <w:noProof/>
          <w:sz w:val="20"/>
          <w:szCs w:val="20"/>
        </w:rPr>
        <w:t>28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.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</w:rPr>
        <w:t>10</w:t>
      </w: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 xml:space="preserve">.2016.године 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  <w:t xml:space="preserve">Интернет страница наручиоца: 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www.kursumlija.org</w:t>
      </w:r>
    </w:p>
    <w:p w:rsidR="00255A51" w:rsidRPr="00326DFB" w:rsidRDefault="00255A51" w:rsidP="00255A51">
      <w:pPr>
        <w:overflowPunct w:val="0"/>
        <w:autoSpaceDE w:val="0"/>
        <w:autoSpaceDN w:val="0"/>
        <w:adjustRightInd w:val="0"/>
        <w:ind w:right="4301"/>
        <w:jc w:val="left"/>
        <w:textAlignment w:val="baseline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326DFB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 xml:space="preserve">К у р ш у м л и ј а </w:t>
      </w:r>
    </w:p>
    <w:p w:rsidR="00326DFB" w:rsidRPr="00326DFB" w:rsidRDefault="00FC00A0" w:rsidP="00326DFB">
      <w:pPr>
        <w:jc w:val="center"/>
        <w:rPr>
          <w:rFonts w:ascii="Times New Roman" w:hAnsi="Times New Roman" w:cs="Times New Roman"/>
          <w:b/>
          <w:lang w:val="sr-Cyrl-CS"/>
        </w:rPr>
      </w:pPr>
      <w:r w:rsidRPr="00326DFB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tbl>
      <w:tblPr>
        <w:tblStyle w:val="TableGrid"/>
        <w:tblW w:w="0" w:type="auto"/>
        <w:tblInd w:w="-252" w:type="dxa"/>
        <w:tblLook w:val="04A0"/>
      </w:tblPr>
      <w:tblGrid>
        <w:gridCol w:w="3337"/>
        <w:gridCol w:w="6383"/>
      </w:tblGrid>
      <w:tr w:rsidR="00FD7A2B" w:rsidRPr="00326DFB" w:rsidTr="0012597E">
        <w:tc>
          <w:tcPr>
            <w:tcW w:w="3337" w:type="dxa"/>
          </w:tcPr>
          <w:p w:rsidR="00FD7A2B" w:rsidRPr="00326DFB" w:rsidRDefault="00FD7A2B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наручиоца:</w:t>
            </w:r>
          </w:p>
        </w:tc>
        <w:tc>
          <w:tcPr>
            <w:tcW w:w="6383" w:type="dxa"/>
          </w:tcPr>
          <w:p w:rsidR="00FD7A2B" w:rsidRPr="00326DFB" w:rsidRDefault="00255A51" w:rsidP="001376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Председник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општинско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веће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општине Куршумлија, Општина Куршумлија.</w:t>
            </w:r>
          </w:p>
        </w:tc>
      </w:tr>
      <w:tr w:rsidR="00FD7A2B" w:rsidRPr="00326DFB" w:rsidTr="0012597E">
        <w:tc>
          <w:tcPr>
            <w:tcW w:w="3337" w:type="dxa"/>
          </w:tcPr>
          <w:p w:rsidR="00FD7A2B" w:rsidRPr="00326DFB" w:rsidRDefault="00FD7A2B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Адреса наручиоца:</w:t>
            </w:r>
          </w:p>
        </w:tc>
        <w:tc>
          <w:tcPr>
            <w:tcW w:w="6383" w:type="dxa"/>
          </w:tcPr>
          <w:p w:rsidR="00FD7A2B" w:rsidRPr="00326DFB" w:rsidRDefault="00255A51" w:rsidP="00255A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Куршумлија</w:t>
            </w:r>
            <w:r w:rsidR="007A6D78"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D7A2B"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,ул.</w:t>
            </w:r>
            <w:r w:rsidR="00FD7A2B" w:rsidRPr="00326DF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Pr="00326DFB">
              <w:rPr>
                <w:rFonts w:ascii="Times New Roman" w:eastAsia="Calibri-Bold" w:hAnsi="Times New Roman" w:cs="Times New Roman"/>
                <w:bCs/>
                <w:color w:val="000000"/>
                <w:sz w:val="20"/>
                <w:szCs w:val="20"/>
              </w:rPr>
              <w:t>Пролетерских бригада бб</w:t>
            </w:r>
            <w:r w:rsidRPr="003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D7A2B" w:rsidRPr="00326DFB" w:rsidTr="0012597E">
        <w:tc>
          <w:tcPr>
            <w:tcW w:w="3337" w:type="dxa"/>
          </w:tcPr>
          <w:p w:rsidR="00FD7A2B" w:rsidRPr="00326DFB" w:rsidRDefault="00FD7A2B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рста наручиоца:</w:t>
            </w:r>
          </w:p>
        </w:tc>
        <w:tc>
          <w:tcPr>
            <w:tcW w:w="6383" w:type="dxa"/>
          </w:tcPr>
          <w:p w:rsidR="00FD7A2B" w:rsidRPr="00326DFB" w:rsidRDefault="00FD7A2B" w:rsidP="0036787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Градска и општинска управа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Врста поступка јавне набавке:</w:t>
            </w:r>
          </w:p>
        </w:tc>
        <w:tc>
          <w:tcPr>
            <w:tcW w:w="6383" w:type="dxa"/>
          </w:tcPr>
          <w:p w:rsidR="00FC00A0" w:rsidRPr="00326DFB" w:rsidRDefault="00137681" w:rsidP="002915A0">
            <w:pPr>
              <w:tabs>
                <w:tab w:val="left" w:pos="34"/>
              </w:tabs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Отворени поступак јавне набавке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Врста предмета:</w:t>
            </w:r>
          </w:p>
        </w:tc>
        <w:tc>
          <w:tcPr>
            <w:tcW w:w="6383" w:type="dxa"/>
          </w:tcPr>
          <w:p w:rsidR="00FC00A0" w:rsidRPr="00326DFB" w:rsidRDefault="00137681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радови</w:t>
            </w:r>
            <w:r w:rsidR="00FC00A0"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предмета набавке,</w:t>
            </w:r>
          </w:p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 ознака</w:t>
            </w:r>
          </w:p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општег речника набавке:</w:t>
            </w:r>
          </w:p>
        </w:tc>
        <w:tc>
          <w:tcPr>
            <w:tcW w:w="6383" w:type="dxa"/>
          </w:tcPr>
          <w:p w:rsidR="00137681" w:rsidRPr="00326DFB" w:rsidRDefault="00255A51" w:rsidP="00255A51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32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Извођење радова на адаптацији санитарних чворова у Основној школи "Милоје Закић"</w:t>
            </w:r>
            <w:r w:rsidR="0013768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, </w:t>
            </w:r>
            <w:r w:rsidR="0013768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ЈН-</w:t>
            </w:r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85</w:t>
            </w:r>
            <w:r w:rsidR="0013768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/2016</w:t>
            </w:r>
          </w:p>
          <w:p w:rsidR="007E648D" w:rsidRPr="00326DFB" w:rsidRDefault="00EB0253" w:rsidP="002915A0">
            <w:pPr>
              <w:tabs>
                <w:tab w:val="left" w:pos="0"/>
              </w:tabs>
              <w:spacing w:line="0" w:lineRule="atLeast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Назив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општег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речника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набавке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55A5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45232460 </w:t>
            </w:r>
            <w:proofErr w:type="spellStart"/>
            <w:r w:rsidR="00255A5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Санитарни</w:t>
            </w:r>
            <w:proofErr w:type="spellEnd"/>
            <w:r w:rsidR="00255A5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55A51" w:rsidRPr="00326D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радови</w:t>
            </w:r>
            <w:proofErr w:type="spellEnd"/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Вредност јавне набавке,</w:t>
            </w:r>
          </w:p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6383" w:type="dxa"/>
          </w:tcPr>
          <w:p w:rsidR="00FC00A0" w:rsidRPr="00326DFB" w:rsidRDefault="00222E1C" w:rsidP="0022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6383" w:type="dxa"/>
          </w:tcPr>
          <w:p w:rsidR="00255A51" w:rsidRPr="00326DFB" w:rsidRDefault="00255A51" w:rsidP="00255A51">
            <w:pPr>
              <w:spacing w:line="3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Избор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између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достављених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прихватљивих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понуда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вршиће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применом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критеријума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најнижа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понуђена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>“.</w:t>
            </w:r>
          </w:p>
          <w:p w:rsidR="00255A51" w:rsidRPr="00326DFB" w:rsidRDefault="00255A51" w:rsidP="00255A51">
            <w:pPr>
              <w:tabs>
                <w:tab w:val="left" w:pos="0"/>
              </w:tabs>
              <w:spacing w:line="340" w:lineRule="exact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Уколико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две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или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више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имају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исту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најнижу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понуђену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укупну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цену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, уговор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бити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додељен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понуђачу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који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је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понудио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најкраћи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рок извођења радова, а уколико и након тога понуде буду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свему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једнаке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, уговор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бити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додељен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понуђачу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који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је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понудио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краћи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рок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плаћања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.</w:t>
            </w:r>
          </w:p>
          <w:p w:rsidR="00255A51" w:rsidRPr="00326DFB" w:rsidRDefault="00255A51" w:rsidP="00255A51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наведених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елемената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критеријума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свему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једнаке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уговор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додељен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255A51" w:rsidRPr="00326DFB" w:rsidRDefault="00255A51" w:rsidP="00255A51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поднели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понуде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позвани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присуствују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доделе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уговора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255A51" w:rsidRPr="00326DFB" w:rsidRDefault="00255A51" w:rsidP="00255A51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Комисија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јавну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набавку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заказати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позвати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опуномоћене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представнике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присуствују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Приликом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представници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посебним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листовима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унети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чланова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Комисије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јавну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набавку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добијају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идентичне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које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стављају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попуњене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листове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измешати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понуђачима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насумице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вршити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одабир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рангирње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понуда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редоследу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извалачења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сачињен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Записник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ЈН </w:t>
            </w: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1.3.17</w:t>
            </w: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/2016. </w:t>
            </w:r>
          </w:p>
          <w:p w:rsidR="0065099C" w:rsidRPr="00326DFB" w:rsidRDefault="00255A51" w:rsidP="00137681">
            <w:pPr>
              <w:spacing w:line="3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Уколико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позваних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одазове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позиву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жребање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чланови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Комисије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јавну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набавку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присутним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овлашћеним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представницима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убацити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листиће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називом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одсутних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учествовати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поступку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жребања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заједно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ковертама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присутних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овлашћених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представника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поступати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дође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ниједан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понуђач</w:t>
            </w:r>
            <w:proofErr w:type="spellEnd"/>
            <w:r w:rsidRPr="0032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документација доступна:</w:t>
            </w:r>
          </w:p>
        </w:tc>
        <w:tc>
          <w:tcPr>
            <w:tcW w:w="6383" w:type="dxa"/>
          </w:tcPr>
          <w:p w:rsidR="00137681" w:rsidRPr="00326DFB" w:rsidRDefault="00137681" w:rsidP="00137681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- Портал јавних набавки, portal.ujn.gov.rs; </w:t>
            </w:r>
          </w:p>
          <w:p w:rsidR="00137681" w:rsidRPr="00326DFB" w:rsidRDefault="00137681" w:rsidP="00137681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страница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="00255A51" w:rsidRPr="00326DF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www.kursumlija.org</w:t>
              </w:r>
            </w:hyperlink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137681" w:rsidRPr="00326DFB" w:rsidRDefault="00137681" w:rsidP="00137681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5A51" w:rsidRPr="00326DFB">
              <w:rPr>
                <w:rFonts w:ascii="Times New Roman" w:hAnsi="Times New Roman" w:cs="Times New Roman"/>
                <w:sz w:val="20"/>
                <w:szCs w:val="20"/>
              </w:rPr>
              <w:t>Општина Куршумлија, ул. Пролетерских бригада бб</w:t>
            </w:r>
            <w:r w:rsidR="00255A51"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број просторије: 19, </w:t>
            </w:r>
            <w:proofErr w:type="spellStart"/>
            <w:r w:rsidR="00255A51"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спрат</w:t>
            </w:r>
            <w:proofErr w:type="spellEnd"/>
            <w:r w:rsidR="00255A51"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сваког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радног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у периоду од 07.00 до 15.00 часова). </w:t>
            </w:r>
          </w:p>
          <w:p w:rsidR="00FC00A0" w:rsidRPr="00326DFB" w:rsidRDefault="00FC00A0" w:rsidP="007A6D78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6383" w:type="dxa"/>
          </w:tcPr>
          <w:p w:rsidR="00255A51" w:rsidRPr="00326DFB" w:rsidRDefault="00255A51" w:rsidP="00255A51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Понуду доставити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адресу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Куршумлија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ул.Пролетерских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бригада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бб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, 18430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Куршумлија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преко писарнице општине Куршумлија, шалтер број 6</w:t>
            </w: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, са назнаком </w:t>
            </w:r>
            <w:r w:rsidRPr="00326D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„Понуда за јавну набавку радова</w:t>
            </w:r>
            <w:bookmarkStart w:id="0" w:name="Text28"/>
            <w:r w:rsidRPr="00326D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bookmarkEnd w:id="0"/>
            <w:r w:rsidRPr="00326D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Latn-CS"/>
              </w:rPr>
              <w:t>Извођење радова на адаптацији санитарних чворова у Основној школи "Милоје Закић"</w:t>
            </w:r>
            <w:r w:rsidRPr="00326D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ЈН бр</w:t>
            </w:r>
            <w:r w:rsidRPr="00326D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34429" w:rsidRPr="00326DFB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326DFB">
              <w:rPr>
                <w:rFonts w:ascii="Times New Roman" w:hAnsi="Times New Roman" w:cs="Times New Roman"/>
                <w:b/>
                <w:sz w:val="20"/>
                <w:szCs w:val="20"/>
              </w:rPr>
              <w:t>/2016</w:t>
            </w:r>
            <w:r w:rsidRPr="00326D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НЕ ОТВАРАТИ“.</w:t>
            </w: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Понуда се сматра благовременом, ако је примљена од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570" w:rsidRPr="00326DFB">
              <w:rPr>
                <w:rFonts w:ascii="Times New Roman" w:hAnsi="Times New Roman" w:cs="Times New Roman"/>
                <w:sz w:val="20"/>
                <w:szCs w:val="20"/>
              </w:rPr>
              <w:t>29.11.2016.</w:t>
            </w: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gram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, до 12,00 часова.</w:t>
            </w:r>
          </w:p>
          <w:p w:rsidR="00255A51" w:rsidRPr="00326DFB" w:rsidRDefault="00255A51" w:rsidP="00255A51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Наручилац ће по пријему понуде, на коверти, односно кутији, у којој се понуда налази, уписати време пријема и евидентирати број и датум понуде према редоследу приспећа. Уколико је понуда достављена непосредно, наручилац ће понуђачу предати потврду пријема понуде. У потврди пријема понуде наручилац ће навести датум и сат пријема понуде.</w:t>
            </w:r>
          </w:p>
          <w:p w:rsidR="00FC00A0" w:rsidRPr="00326DFB" w:rsidRDefault="00255A51" w:rsidP="00E4105A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Понуда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коју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наручилац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примио у року одређеном за подношење понуда, односно која је примљена по истеку дана и сата до којег се могу поднети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сматраће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неблаговременом</w:t>
            </w:r>
            <w:proofErr w:type="spellEnd"/>
            <w:r w:rsidRPr="00326D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Место,време и начин отварања понуда:</w:t>
            </w:r>
          </w:p>
        </w:tc>
        <w:tc>
          <w:tcPr>
            <w:tcW w:w="6383" w:type="dxa"/>
          </w:tcPr>
          <w:p w:rsidR="00FC00A0" w:rsidRPr="00326DFB" w:rsidRDefault="001F0585" w:rsidP="00E4105A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Отварање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понуда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одржаће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се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3570" w:rsidRPr="00326DFB">
              <w:rPr>
                <w:rFonts w:ascii="Times New Roman" w:hAnsi="Times New Roman" w:cs="Times New Roman"/>
                <w:sz w:val="20"/>
                <w:szCs w:val="20"/>
              </w:rPr>
              <w:t>29.11.2016.</w:t>
            </w: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године, у 12</w:t>
            </w:r>
            <w:proofErr w:type="gram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,30</w:t>
            </w:r>
            <w:proofErr w:type="gram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часова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радним просторијама Наручиоца, на адреси:</w:t>
            </w: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Општина Куршумлија, ул. Пролетерских бригада бб</w:t>
            </w: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број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просторије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14, </w:t>
            </w:r>
            <w:proofErr w:type="spell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спрат</w:t>
            </w:r>
            <w:proofErr w:type="spell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6383" w:type="dxa"/>
          </w:tcPr>
          <w:p w:rsidR="001F0585" w:rsidRPr="00326DFB" w:rsidRDefault="001F0585" w:rsidP="001F0585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Отварање понуда је јавно и може присуствовати свако заинтересовано лице.</w:t>
            </w:r>
          </w:p>
          <w:p w:rsidR="001F0585" w:rsidRPr="00326DFB" w:rsidRDefault="001F0585" w:rsidP="001F0585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поступку отварања понуда активно могу да учествују само овлашћени представници понуђача.</w:t>
            </w:r>
          </w:p>
          <w:p w:rsidR="00FC00A0" w:rsidRPr="00326DFB" w:rsidRDefault="001F0585" w:rsidP="003F112C">
            <w:pPr>
              <w:widowControl w:val="0"/>
              <w:autoSpaceDE w:val="0"/>
              <w:autoSpaceDN w:val="0"/>
              <w:adjustRightInd w:val="0"/>
              <w:ind w:left="305" w:firstLine="4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 почетка поступка јавног отварања понуда овлашћени представници понуђача, који ће учествовати поступку отварања понуда, дужни су да наручиоцу предају оверено овлашћење, на основу кога ће </w:t>
            </w:r>
            <w:proofErr w:type="gramStart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>доказати  овлашћење</w:t>
            </w:r>
            <w:proofErr w:type="gramEnd"/>
            <w:r w:rsidRPr="0032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активно учешће  у поступку отварања понуда.</w:t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Рок за доношење одлука:</w:t>
            </w:r>
          </w:p>
        </w:tc>
        <w:tc>
          <w:tcPr>
            <w:tcW w:w="6383" w:type="dxa"/>
          </w:tcPr>
          <w:p w:rsidR="00FC00A0" w:rsidRPr="00326DFB" w:rsidRDefault="00083570" w:rsidP="0013768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C00A0"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о додели уговора биће донета у року од </w:t>
            </w:r>
            <w:r w:rsidR="00137681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25</w:t>
            </w:r>
            <w:r w:rsidR="00FD7A2B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(</w:t>
            </w:r>
            <w:r w:rsidR="00137681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двадесетпет</w:t>
            </w:r>
            <w:r w:rsidR="00FD7A2B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) дана</w:t>
            </w:r>
            <w:r w:rsidR="00FD7A2B" w:rsidRPr="00326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7A2B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од дaнa отварања понудa.</w:t>
            </w:r>
            <w:r w:rsidR="00FD7A2B" w:rsidRPr="00326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ab/>
            </w:r>
          </w:p>
        </w:tc>
      </w:tr>
      <w:tr w:rsidR="00FC00A0" w:rsidRPr="00326DFB" w:rsidTr="0012597E">
        <w:tc>
          <w:tcPr>
            <w:tcW w:w="3337" w:type="dxa"/>
          </w:tcPr>
          <w:p w:rsidR="00FC00A0" w:rsidRPr="00326DFB" w:rsidRDefault="00FC00A0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Лице за контакт:</w:t>
            </w:r>
          </w:p>
        </w:tc>
        <w:tc>
          <w:tcPr>
            <w:tcW w:w="6383" w:type="dxa"/>
          </w:tcPr>
          <w:p w:rsidR="00FC00A0" w:rsidRPr="00326DFB" w:rsidRDefault="003A0948" w:rsidP="003A0948">
            <w:pPr>
              <w:autoSpaceDE w:val="0"/>
              <w:autoSpaceDN w:val="0"/>
              <w:adjustRightInd w:val="0"/>
              <w:ind w:firstLine="708"/>
              <w:rPr>
                <w:rFonts w:ascii="Times New Roman" w:eastAsia="Calibri-Bold" w:hAnsi="Times New Roman" w:cs="Times New Roman"/>
                <w:sz w:val="20"/>
                <w:szCs w:val="20"/>
              </w:rPr>
            </w:pPr>
            <w:r w:rsidRPr="00326DFB">
              <w:rPr>
                <w:rFonts w:ascii="Times New Roman" w:eastAsia="Calibri-Bold" w:hAnsi="Times New Roman" w:cs="Times New Roman"/>
                <w:sz w:val="20"/>
                <w:szCs w:val="20"/>
                <w:lang/>
              </w:rPr>
              <w:t>Лице (или служба) за контакт: Службеник за јавне набавке</w:t>
            </w:r>
            <w:r w:rsidRPr="00326DFB">
              <w:rPr>
                <w:rFonts w:ascii="Times New Roman" w:eastAsia="Calibri-Bold" w:hAnsi="Times New Roman" w:cs="Times New Roman"/>
                <w:i/>
                <w:iCs/>
                <w:sz w:val="20"/>
                <w:szCs w:val="20"/>
                <w:lang/>
              </w:rPr>
              <w:t>,</w:t>
            </w:r>
            <w:r w:rsidRPr="00326DFB">
              <w:rPr>
                <w:rFonts w:ascii="Times New Roman" w:eastAsia="Calibri-Bold" w:hAnsi="Times New Roman" w:cs="Times New Roman"/>
                <w:sz w:val="20"/>
                <w:szCs w:val="20"/>
                <w:lang/>
              </w:rPr>
              <w:t xml:space="preserve">е-mail адреса: </w:t>
            </w:r>
            <w:hyperlink r:id="rId9" w:history="1">
              <w:r w:rsidRPr="00326DFB">
                <w:rPr>
                  <w:rStyle w:val="Hyperlink"/>
                  <w:rFonts w:ascii="Times New Roman" w:eastAsia="Calibri-Bold" w:hAnsi="Times New Roman" w:cs="Times New Roman"/>
                  <w:i/>
                  <w:iCs/>
                  <w:sz w:val="20"/>
                  <w:szCs w:val="20"/>
                </w:rPr>
                <w:t>javnenabavke@kursumlija.org</w:t>
              </w:r>
            </w:hyperlink>
            <w:r w:rsidRPr="00326DFB">
              <w:rPr>
                <w:rFonts w:ascii="Times New Roman" w:eastAsia="Calibri-Bold" w:hAnsi="Times New Roman" w:cs="Times New Roman"/>
                <w:i/>
                <w:iCs/>
                <w:sz w:val="20"/>
                <w:szCs w:val="20"/>
              </w:rPr>
              <w:t>,</w:t>
            </w:r>
            <w:r w:rsidRPr="00326DFB">
              <w:rPr>
                <w:rFonts w:ascii="Times New Roman" w:eastAsia="Calibri-Bold" w:hAnsi="Times New Roman" w:cs="Times New Roman"/>
                <w:i/>
                <w:iCs/>
                <w:sz w:val="20"/>
                <w:szCs w:val="20"/>
                <w:lang/>
              </w:rPr>
              <w:t>.</w:t>
            </w:r>
          </w:p>
        </w:tc>
      </w:tr>
      <w:tr w:rsidR="004A4DC2" w:rsidRPr="00326DFB" w:rsidTr="0012597E">
        <w:tc>
          <w:tcPr>
            <w:tcW w:w="3337" w:type="dxa"/>
          </w:tcPr>
          <w:p w:rsidR="004A4DC2" w:rsidRPr="00326DFB" w:rsidRDefault="004A4DC2" w:rsidP="00EB79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26D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Остали подаци:</w:t>
            </w:r>
          </w:p>
        </w:tc>
        <w:tc>
          <w:tcPr>
            <w:tcW w:w="6383" w:type="dxa"/>
          </w:tcPr>
          <w:p w:rsidR="004A4DC2" w:rsidRPr="00326DFB" w:rsidRDefault="007A6D78" w:rsidP="004A4DC2">
            <w:pPr>
              <w:pStyle w:val="Subtitle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bidi="he-IL"/>
              </w:rPr>
            </w:pPr>
            <w:r w:rsidRPr="00326DFB">
              <w:rPr>
                <w:rFonts w:ascii="Times New Roman" w:hAnsi="Times New Roman"/>
                <w:b w:val="0"/>
                <w:i w:val="0"/>
                <w:sz w:val="20"/>
                <w:szCs w:val="20"/>
                <w:lang w:bidi="he-IL"/>
              </w:rPr>
              <w:t>/</w:t>
            </w:r>
          </w:p>
        </w:tc>
      </w:tr>
    </w:tbl>
    <w:p w:rsidR="00FC00A0" w:rsidRPr="00326DFB" w:rsidRDefault="00FC00A0" w:rsidP="00FC00A0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703494" w:rsidRDefault="00703494"/>
    <w:sectPr w:rsidR="00703494" w:rsidSect="007034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51" w:rsidRDefault="00865451" w:rsidP="00083570">
      <w:r>
        <w:separator/>
      </w:r>
    </w:p>
  </w:endnote>
  <w:endnote w:type="continuationSeparator" w:id="0">
    <w:p w:rsidR="00865451" w:rsidRDefault="00865451" w:rsidP="0008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7922"/>
      <w:docPartObj>
        <w:docPartGallery w:val="Page Numbers (Bottom of Page)"/>
        <w:docPartUnique/>
      </w:docPartObj>
    </w:sdtPr>
    <w:sdtContent>
      <w:p w:rsidR="00083570" w:rsidRDefault="00083570">
        <w:pPr>
          <w:pStyle w:val="Footer"/>
          <w:jc w:val="center"/>
        </w:pPr>
        <w:fldSimple w:instr=" PAGE   \* MERGEFORMAT ">
          <w:r w:rsidR="00326DFB">
            <w:rPr>
              <w:noProof/>
            </w:rPr>
            <w:t>2</w:t>
          </w:r>
        </w:fldSimple>
      </w:p>
    </w:sdtContent>
  </w:sdt>
  <w:p w:rsidR="00083570" w:rsidRDefault="00083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51" w:rsidRDefault="00865451" w:rsidP="00083570">
      <w:r>
        <w:separator/>
      </w:r>
    </w:p>
  </w:footnote>
  <w:footnote w:type="continuationSeparator" w:id="0">
    <w:p w:rsidR="00865451" w:rsidRDefault="00865451" w:rsidP="00083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8138640"/>
    <w:lvl w:ilvl="0" w:tplc="FFFFFFFF">
      <w:start w:val="2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3855585C"/>
    <w:lvl w:ilvl="0" w:tplc="FFFFFFFF">
      <w:start w:val="2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A0"/>
    <w:rsid w:val="00004576"/>
    <w:rsid w:val="00022258"/>
    <w:rsid w:val="00034429"/>
    <w:rsid w:val="00083570"/>
    <w:rsid w:val="00093FF0"/>
    <w:rsid w:val="000A4727"/>
    <w:rsid w:val="000D18FA"/>
    <w:rsid w:val="000F4EF2"/>
    <w:rsid w:val="00104DE8"/>
    <w:rsid w:val="0012597E"/>
    <w:rsid w:val="00131C8F"/>
    <w:rsid w:val="001323FF"/>
    <w:rsid w:val="00137681"/>
    <w:rsid w:val="0014381A"/>
    <w:rsid w:val="00175D24"/>
    <w:rsid w:val="001D4B85"/>
    <w:rsid w:val="001E3B6F"/>
    <w:rsid w:val="001F0585"/>
    <w:rsid w:val="001F3FA7"/>
    <w:rsid w:val="0020653D"/>
    <w:rsid w:val="00222E1C"/>
    <w:rsid w:val="00255A51"/>
    <w:rsid w:val="00284D0F"/>
    <w:rsid w:val="002915A0"/>
    <w:rsid w:val="002D390E"/>
    <w:rsid w:val="002E6306"/>
    <w:rsid w:val="003006F5"/>
    <w:rsid w:val="00326DFB"/>
    <w:rsid w:val="003428E9"/>
    <w:rsid w:val="00362D41"/>
    <w:rsid w:val="00373159"/>
    <w:rsid w:val="003A0948"/>
    <w:rsid w:val="003D5938"/>
    <w:rsid w:val="003F112C"/>
    <w:rsid w:val="0042060C"/>
    <w:rsid w:val="00452301"/>
    <w:rsid w:val="00497D3F"/>
    <w:rsid w:val="004A4DC2"/>
    <w:rsid w:val="00507E2E"/>
    <w:rsid w:val="005347B5"/>
    <w:rsid w:val="0059062D"/>
    <w:rsid w:val="005A160F"/>
    <w:rsid w:val="005D1514"/>
    <w:rsid w:val="0060175A"/>
    <w:rsid w:val="00650280"/>
    <w:rsid w:val="0065099C"/>
    <w:rsid w:val="00685D4F"/>
    <w:rsid w:val="006A32B8"/>
    <w:rsid w:val="00703494"/>
    <w:rsid w:val="00723BE2"/>
    <w:rsid w:val="0073005D"/>
    <w:rsid w:val="007470DB"/>
    <w:rsid w:val="00753B50"/>
    <w:rsid w:val="007A6D78"/>
    <w:rsid w:val="007E3016"/>
    <w:rsid w:val="007E648D"/>
    <w:rsid w:val="007F0A29"/>
    <w:rsid w:val="00830621"/>
    <w:rsid w:val="00835A5D"/>
    <w:rsid w:val="00850C82"/>
    <w:rsid w:val="008609DD"/>
    <w:rsid w:val="008616DC"/>
    <w:rsid w:val="00865451"/>
    <w:rsid w:val="008914FE"/>
    <w:rsid w:val="00891A6F"/>
    <w:rsid w:val="008B4213"/>
    <w:rsid w:val="008C3636"/>
    <w:rsid w:val="008C5B68"/>
    <w:rsid w:val="008F7829"/>
    <w:rsid w:val="00900F90"/>
    <w:rsid w:val="00912767"/>
    <w:rsid w:val="00912A8D"/>
    <w:rsid w:val="009148F4"/>
    <w:rsid w:val="009451EF"/>
    <w:rsid w:val="00974FC1"/>
    <w:rsid w:val="009E205E"/>
    <w:rsid w:val="00A2157D"/>
    <w:rsid w:val="00A35C8C"/>
    <w:rsid w:val="00AB02CA"/>
    <w:rsid w:val="00AB5B3A"/>
    <w:rsid w:val="00AD56BA"/>
    <w:rsid w:val="00B15995"/>
    <w:rsid w:val="00B83340"/>
    <w:rsid w:val="00B8398A"/>
    <w:rsid w:val="00BD10A7"/>
    <w:rsid w:val="00C05166"/>
    <w:rsid w:val="00C226A4"/>
    <w:rsid w:val="00C408A5"/>
    <w:rsid w:val="00C869CA"/>
    <w:rsid w:val="00CD3D78"/>
    <w:rsid w:val="00CE032E"/>
    <w:rsid w:val="00CF27F0"/>
    <w:rsid w:val="00CF6BD2"/>
    <w:rsid w:val="00D16271"/>
    <w:rsid w:val="00DD7CDB"/>
    <w:rsid w:val="00E4105A"/>
    <w:rsid w:val="00E76873"/>
    <w:rsid w:val="00E94527"/>
    <w:rsid w:val="00EA2B2D"/>
    <w:rsid w:val="00EB0253"/>
    <w:rsid w:val="00F8162C"/>
    <w:rsid w:val="00F8550E"/>
    <w:rsid w:val="00F9481F"/>
    <w:rsid w:val="00FB6704"/>
    <w:rsid w:val="00FC00A0"/>
    <w:rsid w:val="00F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A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A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FF0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A4DC2"/>
    <w:pPr>
      <w:jc w:val="center"/>
    </w:pPr>
    <w:rPr>
      <w:rFonts w:ascii="Sylfaen" w:eastAsia="Times New Roman" w:hAnsi="Sylfaen" w:cs="Times New Roman"/>
      <w:b/>
      <w:i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4A4DC2"/>
    <w:rPr>
      <w:rFonts w:ascii="Sylfaen" w:eastAsia="Times New Roman" w:hAnsi="Sylfaen" w:cs="Times New Roman"/>
      <w:b/>
      <w:i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08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570"/>
  </w:style>
  <w:style w:type="paragraph" w:styleId="Footer">
    <w:name w:val="footer"/>
    <w:basedOn w:val="Normal"/>
    <w:link w:val="FooterChar"/>
    <w:uiPriority w:val="99"/>
    <w:unhideWhenUsed/>
    <w:rsid w:val="0008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umli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enabavke@kursumli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5F06-6889-4791-BA5F-60B890C7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2016-10-28T10:33:00Z</cp:lastPrinted>
  <dcterms:created xsi:type="dcterms:W3CDTF">2016-10-26T10:11:00Z</dcterms:created>
  <dcterms:modified xsi:type="dcterms:W3CDTF">2016-10-28T10:46:00Z</dcterms:modified>
</cp:coreProperties>
</file>